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23 43 vom 12. Februar 2025</w:t>
      </w:r>
    </w:p>
    <w:p>
      <w:r>
        <w:t>VS Kantonsgericht, 2025-02-12, FR</w:t>
      </w:r>
    </w:p>
    <w:p>
      <w:r>
        <w:rPr>
          <w:b/>
        </w:rPr>
        <w:t xml:space="preserve">Quelle: </w:t>
      </w:r>
      <w:r>
        <w:t>https://mcp.opencaselaw.ch/entscheid/vs_gerichte_S2 23 43</w:t>
      </w:r>
    </w:p>
    <w:p>
      <w:r>
        <w:t>FR: VS_GERICHTE S2 23 43 du 12 février 2025</w:t>
      </w:r>
    </w:p>
    <w:p>
      <w:r>
        <w:t>IT: VS_GERICHTE S2 23 43 del 12 febbraio 2025</w:t>
      </w:r>
    </w:p>
    <w:p>
      <w:pPr>
        <w:pStyle w:val="Heading2"/>
      </w:pPr>
      <w:r>
        <w:t>Regeste</w:t>
      </w:r>
    </w:p>
    <w:p>
      <w:r>
        <w:t>Par arrêt du 12 février 2025 (8C_18/2025), le Tribunal fédéral a rejeté le recours en matière de droit public interjeté par X_ contre ce jugement S2 23 43 ARRET DU 9 DÉCEMBRE 2024 Tribunal cantonal du Valais Cour des assurances sociales Composition : Candido Prada, président ; Jean-Bernard Fournier et Christophe Joris, juges ; Anaïs Mottiez, greffière en la cause X _________, recourante, représentée par Maître Michel De Palma, avocat, Sion contre GROUPE MUTUEL ASSURANCES GMA SA, intimée (rente d’invalidité ; IPAI ; valeur probante d’une expertise)</w:t>
      </w:r>
    </w:p>
    <w:p>
      <w:pPr>
        <w:pStyle w:val="Heading2"/>
      </w:pPr>
      <w:r>
        <w:t>Erwägungen</w:t>
      </w:r>
    </w:p>
    <w:p>
      <w:r>
        <w:rPr>
          <w:b/>
        </w:rPr>
        <w:t>E. 1.1</w:t>
      </w:r>
    </w:p>
    <w:p>
      <w:r>
        <w:t>Selon l'article 1 alinéa 1 LAA, les dispositions de la loi fédérale du 6 octobre 2000 sur la partie générale du droit des assurances sociales (LPGA) s'appliquent à l'assurance-accidents, à moins que la LAA n'y déroge expressément. Remis à la poste le 15 mai 2023, le présent recours à l’encontre de la décision sur opposition du 17 avril précédent a été interjeté dans le délai légal de trente jours (art. 60 LPGA), et devant la Cour de céans, compétente à raison du lieu et de la matière (art. 56, 57 et 58 LPGA ; art. 81a al. 1 LPJA). Il répond par ailleurs aux autres conditions formelles de recevabilité (art. 61 let. b LPGA), de sorte qu’il convient d’entrer en matière.</w:t>
      </w:r>
    </w:p>
    <w:p>
      <w:r>
        <w:rPr>
          <w:b/>
        </w:rPr>
        <w:t>E. 2.1</w:t>
      </w:r>
    </w:p>
    <w:p>
      <w:r>
        <w:t>Le litige porte sur le refus d’octroi d’une rente d’invalidité ainsi que sur le taux de l’indemnité pour atteinte à l’intégrité.</w:t>
      </w:r>
    </w:p>
    <w:p>
      <w:r>
        <w:rPr>
          <w:b/>
        </w:rPr>
        <w:t>E. 2.2</w:t>
      </w:r>
    </w:p>
    <w:p>
      <w:r>
        <w:t>Selon l'article 6 alinéa 1 LAA, les prestations d'assurance sont allouées en cas d'accident professionnel, d'accident non professionnel et de maladie professionnelle. L’assurance alloue aussi ses prestations pour les lésions corporelles énumérées exhaustivement à l’article 6 alinéa 2 LAA, pour autant qu’elles ne soient pas dues de manière prépondérante à l’usure ou à une maladie.</w:t>
      </w:r>
    </w:p>
    <w:p>
      <w:r>
        <w:rPr>
          <w:b/>
        </w:rPr>
        <w:t>E. 2.3</w:t>
      </w:r>
    </w:p>
    <w:p>
      <w:r>
        <w:t>; voir également FREI, Die Integritätsentschädigung nach Art. 24 und 25 des Bundesgesetzes über die Unfallversicherung, 1998, p. 41). L'évaluation incombe donc avant tout aux médecins, qui doivent, d'une part, constater objectivement quelles limitations subit l'assuré et, d'autre part, estimer l'atteinte à l'intégrité en résultant. L'annexe 3 de l'OLAA comporte un barème - reconnu conforme à la loi et non exhaustif (ATF 124 V 29 consid. 1b, 209 consid. 4a/bb ; 113 V 218 consid. 2a) - des lésions fréquentes et caractéristiques, évaluées en pour cent.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LAA). Ces tables n'ont pas valeur de règles de droit et ne sauraient lier le juge. Dans la mesure, toutefois, où il s'agit de valeurs indicatives destinées à assurer autant que faire se peut l'égalité de traitement</w:t>
      </w:r>
    </w:p>
    <w:p>
      <w:r>
        <w:t>- 9 - entre les assurés, elles sont compatibles avec l'annexe 3 à l'OLAA (ATF 124 V 209 consid. 4a/cc ; 116 V 156 consid. 3a).</w:t>
      </w:r>
    </w:p>
    <w:p>
      <w:r>
        <w:rPr>
          <w:b/>
        </w:rPr>
        <w:t>E. 2.4</w:t>
      </w:r>
    </w:p>
    <w:p>
      <w:r>
        <w:t>Selon l'article 24 alinéa 1 LAA, si, par suite de l'accident, l'assuré souffre d'une atteinte importante et durable à son intégrité physique, mentale ou psychique, il a droit à une indemnité équitable pour atteinte à l'intégrité (al. 1). L'atteinte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(art. 36 al. 1 OLAA). Il sera équitablement tenu compte des aggravations prévisibles de l’atteinte à l’intégrité. Une révision n’est possible qu’en cas exceptionnel, si l’aggravation est importante et n’était pas prévisible (art. 36 al. 4 OLAA). L'indemnité pour atteinte à l'intégrité a pour but de compenser le dommage subi par un assuré du fait d'une atteinte grave à son intégrité corporelle ou mentale due à un accident. La gravité de l'atteinte, dont dépend le montant de l'indemnité, se détermine uniquement d'après les constatations médicales (SVR 2009 UV n° 27 p. 97 ; arrêt du Tribunal fédéral 8C_459/2008 consid.</w:t>
      </w:r>
    </w:p>
    <w:p>
      <w:r>
        <w:rPr>
          <w:b/>
        </w:rPr>
        <w:t>E. 2.5</w:t>
      </w:r>
    </w:p>
    <w:p>
      <w:r>
        <w:t>Dans le domaine des assurances sociales, l'autorité fonde généralement sa décision sur les faits qui, faute d'être établis de manière irréfutable, apparaissent comme les plus vraisemblables, c'est-à-dire qui présentent un degré de vraisemblance prépondérante (ATF 135 V 39 consid. 6.1). Il ne suffit donc pas qu'un fait puisse être considéré seulement comme une hypothèse possible; la vraisemblance prépondérante suppose que, d'un point de vue objectif, des motifs importants plaident pour l'exactitude d'une allégation, sans que d'autres possibilités revêtent une importance significative ou entrent raisonnablement en considération (ATF 135 V 39 consid. 6.1 et 126 V 353 consid. 5b ; voir également ATF 133 III 81 consid. 4.2.2). En droit des assurances sociales, il n'existe par conséquent pas de principe selon lequel l'administration ou le juge devrait statuer, dans le doute, en faveur de l'assuré ; le défaut de preuve va au détriment de la partie qui entendait tirer un droit du fait non prouvé (ATF 126 V 319 consid. 5a). L'autorité compétente doit examiner objectivement tous les documents à disposition, quelle que soit leur provenance, puis décider s'ils permettent de porter un jugement valable sur le droit litigieux (arrêt du Tribunal fédéral 8C_155/2012 du 9 janvier 2013 consid. 3.2 ; arrêts du Tribunal administratif fédéral C-1472/2012 du 24 mars 2014 consid. 7.1.1 et C-6844/2011 du 5 juin 2013 consid. 7.1). Elle peut considérer qu'un fait est prouvé et renoncer à de plus amples mesures d'instruction lorsqu'au terme d'un examen objectif, elle ne conçoit plus de doutes sérieux sur l'existence de ce fait (ATF 130 III 321 consid. 3.2 et 125 V 351 consid. 3a ; SVR 2007 IV n° 31 p 111 [I 455/06] consid. 4.1). Si de tels doutes subsistent, il lui appartient de compléter l'instruction de la cause, pour autant que l'on puisse attendre un résultat probant des mesures d'instruction entrant raisonnablement en considération (arrêt du Tribunal fédéral 9C_106/2011 du 14 octobre 2011 consid. 3.3). En particulier, une expertise sera mise en œuvre lorsqu'il apparaît nécessaire de clarifier les aspects médicaux du cas (ATF 117 V 282 ; arrêt du Tribunal administratif fédéral C-5618/2012 précité consid. 7). Le cas échéant, l'autorité peut par ailleurs renoncer à l'administration d'une preuve, si elle acquiert la conviction, au terme d'une appréciation anticipée des preuves, qu'une telle mesure ne pourrait l'amener à modifier son opinion (ATF 145 I 167 consid. 4.1 ; 144 II 427 consid. 3.1.3 ; 141 I 60 consid. 3.3. ; 130 II 425 consid. 2.1 et 125 I 127 consid. 6c/cc). Il ne se justifie pas d'écarter un rapport médical au seul motif qu'il est établi par le médecin interne d'un assureur social, respectivement par le médecin traitant (ou l'expert privé) de la personne assurée, sans examiner autrement sa valeur probante (arrêt du</w:t>
      </w:r>
    </w:p>
    <w:p>
      <w:r>
        <w:t>- 10 - Tribunal fédéral 4A_172/2013 du 1er octobre 2013 consid. 3.5 ; arrêts du Tribunal administratif fédéral C-4232/2011 du 17 juillet 2012 consid. 5 et C-3456/2010 du 23 janvier 2012 consid. 8). En ce qui concerne en particulier les documents produits par le service médical de l'assureur, le Tribunal fédéral n'exclut pas que ce dernier ou le juge des assurances sociales statuent en grande partie, voire exclusivement sur la base de ceux-ci (ATF 122 V 157 consid. 1d). En revanche, lorsqu’un cas d'assurance est réglé sans avoir recours à une expertise dans une procédure au sens de l'article 44 LPGA, l'appréciation des preuves est soumise à des exigences sévères : s'il existe un doute même minime sur la fiabilité et la validité des constatations d'un médecin de l'assurance, il y a lieu de procéder à des investigations complémentaires (ATF 145 V 97 consid. 8.5 ; 142 V 58 consid. 5.1 ; 139 V 225 consid. 5.2 ; 135 V 465 consid. 4.4). En effet, si la jurisprudence a reconnu la valeur probante des rapports médicaux des médecins- conseils, elle a souligné qu'ils n'avaient pas la même force probante qu'une expertise judiciaire ou une expertise mise en œuvre par un assureur social dans une procédure selon l'article 44 LPGA (ATF 135 V 465 consid. 4.4 et les références citées). Par ailleurs, le juge doit avoir égard au fait que la relation de confiance unissant un patient à son médecin traitant peut influencer l'objectivité ou l'impartialité de celui-ci; cela ne justifie cependant pas en soi d'évincer tous les avis émanant des médecins traitants. Il faut effectuer une appréciation globale de la valeur probante du rapport du médecin traitant au regard des autres pièces médicales (ATF 125 V 351 consid. 3b/cc; arrêt du Tribunal fédéral 9C_12/2012 du 20 juillet 2012 consid. 7.1) En présence de rapports médicaux contradictoires, le juge des assurances sociales ne peut notamment pas trancher le litige sans apprécier toutes les pièces médicales et exposer les motifs pour lesquels il se fonde sur un avis médical plutôt que sur un autre. En ce qui concerne la valeur probante d’un rapport médical, il est déterminant de savoir si cet acte est complet compte tenu des droits contestés, s'il est fondé sur des examens approfondis en tous points, s'il tient compte des affections dont se plaint l'intéressé, s'il a été établi en connaissance de l'anamnèse, si l'exposé du contexte médical est cohérent, voire si l'appréciation de la situation médicale est claire, et si les conclusions de l'expert sont dûment motivées. Ne sont donc en soi déterminantes pour la valeur probante d’un moyen de preuve ni la provenance d’une prise de position reçue ou demandée par le biais d’un mandat ni sa désignation en tant que rapport ou expertise. Lorsqu'une appréciation repose sur une évaluation médicale complète et approfondie, elle ne saurait être remise en cause au seul motif qu'un ou plusieurs médecins ont une opinion divergente. Il ne peut en aller différemment que si lesdits médecins font état d'éléments objectivement vérifiables ayant été ignorés dans le cadre de l'expertise et</w:t>
      </w:r>
    </w:p>
    <w:p>
      <w:r>
        <w:t>- 11 - suffisamment pertinents pour en remettre en cause les conclusions (ATF 125 V 351 ; arrêt du Tribunal fédéral 9C_543/2011 du 19 janvier 2012 consid. 2.3.1). En particulier, les mesures d’instruction d’office nécessaires à l’examen de la demande de prestations au sens de l’article 43 LPGA ne comportent pas le droit de l’assureur de recueillir un deuxième avis (« second opinion ») sur un état de fait déjà constaté dans une expertise, lorsque celui-ci ne lui convient pas. Cette possibilité n’est non plus pas ouverte à la personne assurée. La nécessité d’administrer une nouvelle expertise dépend de la question de savoir si celle qui se trouve déjà au dossier remplit les exigences de forme et de fond posées pour la valeur probante d’une expertise médicale (arrêt du Tribunal fédéral U 571/06 du 29 mai 2007 consid. 4.2 et les références).</w:t>
      </w:r>
    </w:p>
    <w:p>
      <w:r>
        <w:rPr>
          <w:b/>
        </w:rPr>
        <w:t>E. 3.1</w:t>
      </w:r>
    </w:p>
    <w:p>
      <w:r>
        <w:t>Dans le cas d’espèce, l’intimée s’est basée sur l’avis du Dr M _________, spécialiste FMH en médecine physique et réadaptation, qui a estimé dans un rapport d’expertise du 15 décembre 2022, complété le 5 avril 2023, qu’une pleine capacité de travail était exigible de la recourante dans une activité adaptée dès le 10 septembre 2022 et que les séquelles du SDRC qu’elle présentait justifiaient une IPAI de 10%. La recourante soutient quant à elle que l’expertise du Dr M _________ est contradictoire, dans la mesure où le diagnostic de SDRC retenu par ce spécialiste serait incompatible avec la reconnaissance d’une pleine capacité de travail dans une activité adaptée, que ce spécialiste n’aurait pas tenu compte du caractère incapacitant des douleurs qu’elle présentait, que la sévérité de ces douleurs justifiait l’octroi d’une IPAI de 20% et que son taux d’invalidité se montait au moins à 50%.</w:t>
      </w:r>
    </w:p>
    <w:p>
      <w:r>
        <w:rPr>
          <w:b/>
        </w:rPr>
        <w:t>E. 3.2</w:t>
      </w:r>
    </w:p>
    <w:p>
      <w:r>
        <w:t>Ainsi, dès lors que l’appréciation du Dr M _________ repose sur une évaluation médicale complète et approfondie et que la recourante ne se fonde sur aucun document médical faisant état d’éléments objectivement vérifiables qui auraient été ignorés dans le cadre de l’expertise ou suffisamment pertinents pour en mettre en doute les conclusions, dite appréciation ne saurait être remise en cause au motif que l’intéressée a une opinion divergente de celle de l’expert (cf. supra consid. 2.5). Dans ces circonstances, il appert que l’expertise du 15 décembre 2022 bénéficie d’une pleine valeur probante et que les différents avis médicaux au dossier permettaient à l’intimée de porter un jugement valable sur le présent cas, sans qu’il se justifie de donner suite au moyen de preuve requis par la recourante, à savoir la mise en œuvre d’une expertise (sur l’appréciation anticipée des preuves : ATF 145 I 167 consid. 4.1).</w:t>
      </w:r>
    </w:p>
    <w:p>
      <w:r>
        <w:rPr>
          <w:b/>
        </w:rPr>
        <w:t>E. 3.3</w:t>
      </w:r>
    </w:p>
    <w:p>
      <w:r>
        <w:t>Eu égard à ce qui précède, c’est à juste titre que GMA SA a refusé à la recourante le droit à une rente d’invalidité et lui a octroyé une IPAI de 10%. Mal fondé, le recours est rejeté et la décision sur opposition entreprise du 17 avril 2023 confirmée.</w:t>
      </w:r>
    </w:p>
    <w:p>
      <w:r>
        <w:rPr>
          <w:b/>
        </w:rPr>
        <w:t>E. 4.1</w:t>
      </w:r>
    </w:p>
    <w:p>
      <w:r>
        <w:t>Il n’est pas perçu de frais, la loi spéciale, en l’occurrence la LAA, n’en prévoyant pas (art. 61 let. fbis LPGA). Au vu de l’issue de la cause, il n’est pas alloué de dépens (art. 61 let. g LPGA).</w:t>
      </w:r>
    </w:p>
    <w:p>
      <w:r>
        <w:t>Prononce</w:t>
      </w:r>
    </w:p>
    <w:p>
      <w:r>
        <w:t>1. Le recours est rejeté. 2. Il n'est pas perçu de frais, ni alloué de dépens. Sion, le 9 décembre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